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3E" w:rsidRPr="00A7793E" w:rsidRDefault="00D75335" w:rsidP="00A7793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>Wymagania edukacyjne język niemiecki klasa 7</w:t>
      </w: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br/>
        <w:t>I. Półrocze</w:t>
      </w:r>
    </w:p>
    <w:p w:rsidR="00A7793E" w:rsidRPr="00A7793E" w:rsidRDefault="00A7793E" w:rsidP="00A7793E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Hallo! Wie geht’s?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rozpoznać znaczenie wybranych internacjonalizmów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wymawiać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zapisać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inne niż wymienione w podręczniku internacjonalizmy i podać ich znaczenie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niemieckich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podstawowe informacje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nazwy wielu miast, rzek i gór niemieckich oraz wskazać je na mapie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kilka atrakcji turystycznych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omówić po polsku kilka atrakcji turystycznych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informacje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informacje o kilku atrakcjach turystycznych Niemiec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oficjalne, potoczne i regionalne formy powitań i pożegnań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zredagować krótką informację o wybranej osobie, wykorzystując poznane wyrażenia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różnych osobach na podstawie wysłuchanego tekstu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zaprezentować obszernie swojego idola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odmienić czasowniki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zasady stosowania przeczeń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znaczenie zaimków pytajnych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wie, wer, wo, woher,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pytania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F6B2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wymo­wy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Familie und Verwandte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powiązania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podstawie np. tekstu, zdjęć,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czyjegoś wyglądu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nazwy zawodów na podstawie opisu czynności 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czynnościach 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opowiadać wyczerpująco o różnych zawodach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posługiwać się liczebnikami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zwierzątku domowym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uzyskać 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temat zwierzątka koleżanki / 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zwierzątek domowych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po polsku główne treści przeczy­tanego 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krótko o rodzinie Tiny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Tiny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list, w którym informuje wyczerpująco o rodzinie koleżanki / kolegi i jej / jego zwierzętach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osobowe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formy 1. i 3. osoby liczby mnogiej poznanych czasowników</w:t>
            </w:r>
          </w:p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dzierżawcze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wymarzonym planie lekcji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 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podstawowe czynności związane z niektórymi przedmiotami 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o poszczególnych przedmiotach i czynnościach z nimi związanych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stosunku 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wyrazić opinię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wyczerpująco opowiedzieć o szkole, klasie, lekcjach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jaką ma ocenę z j. niemieckiego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z koleżanką / kolegą rozmowę na temat ostatniego świadectwa szkolnego i opowiedzieć o tym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wyposażenie plecaka idealnego ucznia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stoso­wania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odpowiedni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rodzajniki nieokreślone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rzeczowniki z rodzajnikiem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w wypowiedziach rzeczowniki z rodzajnikiem nieokreślonym w bierniku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zasady stosowania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odmieniać rzeczowniki z przeczeniem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w zdaniu przeczenie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 o szyku prostym i przestawnym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rzeczowników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tworzyć nowe 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tworzyć i stosować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 złożone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Hobby und Freizeit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porozmawiać z koleżanką / kolegą na temat czasu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można ciekawie i niestandardowo spędzać czas wolny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formach spędzania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kolegę, wykorzystując informacje zdobyte podczas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różne sposoby spędzania czasu poza domem i uzasadnić te wybory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potraw i przepisów na 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podstawowe słownictwo związane z komputerem i internetem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na podstawie tekstu o głównych czynno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ściach wykonywanych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 czy i jak korzysta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internetu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do czego wykorzystuje internet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zalet i wad korzystania z internetu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 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nieregularne w odpo­wiedniej 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nieregularne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nieregularne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rozdzielnie złożone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stosować rzeczowniki z rodzajnikiem określonym w bierniku w wypowiedziach ustnych i pisemnych 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D75335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335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335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335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32"/>
                <w:szCs w:val="32"/>
              </w:rPr>
            </w:pPr>
            <w:r>
              <w:rPr>
                <w:rFonts w:cs="AgendaPl RegularCondensed"/>
                <w:b/>
                <w:color w:val="000000"/>
                <w:sz w:val="32"/>
                <w:szCs w:val="32"/>
              </w:rPr>
              <w:t>II. PÓŁROCZE</w:t>
            </w:r>
          </w:p>
          <w:p w:rsidR="00D75335" w:rsidRPr="00D75335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335" w:rsidRPr="00A7793E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335" w:rsidRPr="00A7793E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335" w:rsidRPr="00A7793E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335" w:rsidRPr="00A7793E" w:rsidRDefault="00D75335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A7793E" w:rsidRPr="006F6B29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6F6B29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aktualną godzinę w dwóch 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rozmowę,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poprowadzić rozmowę, w której pyta o aktualną godzinę lub udziela odpowiedzi na to 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programu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rozmowę,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poprowadzić rozmowę, w której pyta o porę rozpoczęcia i czas trwania jakiegoś wydarzenia lub udziela odpowiedzi na to 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przebiegu swojego dnia i uzasadnić, dlaczego wykonuje dane czynności o określonej porze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przygotować prezentację o przebiegu dnia jakiejś znanej osoby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zasady wymowy i pisowni z nielicznymi uchybieniami, które mogą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zasady wymowy i pisowni z nielicznymi uchybieniami, które nie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Essen und Trinken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swojej ulubionej potrawie, opisując ją szczegółowo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że jest głodny bądź spragniony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koleżance / koledze wspólny posiłek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lokale 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zamówić coś 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szczegółowo o ulubionym lokalu gastronomicznym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 podstawie przepro­wadzonej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szczegółowo o zwyczajach żywieniowych w wybranych krajach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odpowiedni szyk w zdaniu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tworzyć zdania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zdania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tworzenia trybu rozkazującego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mnogiej (forma grzecznościowa)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tryb rozkazu­jący dla 2. osoby w liczbie pojedynczej i mnogiej oraz dla 3. osoby w liczbie mnogiej (forma grzecznościowa)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(forma grzecznościowa)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 (forma grzecznościowa)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słuchu lub czytany o niskim stopniu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trud­ności z minimalną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słownictwie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</w:tbl>
    <w:p w:rsidR="00A7793E" w:rsidRPr="00A7793E" w:rsidRDefault="00A7793E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sectPr w:rsidR="00A7793E" w:rsidRPr="00A7793E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EC" w:rsidRDefault="008B27EC" w:rsidP="00285D6F">
      <w:pPr>
        <w:spacing w:after="0" w:line="240" w:lineRule="auto"/>
      </w:pPr>
      <w:r>
        <w:separator/>
      </w:r>
    </w:p>
  </w:endnote>
  <w:endnote w:type="continuationSeparator" w:id="0">
    <w:p w:rsidR="008B27EC" w:rsidRDefault="008B27E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4" w:rsidRDefault="00FA0B24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54BAD" wp14:editId="0A24EC4A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1D7E4A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FA0B24" w:rsidRPr="00FA0B24">
      <w:t>Zuzanna Hubar, Barbara Kalinowska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98E73" wp14:editId="492ABB20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DD37C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285D6F" w:rsidRDefault="00B76708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759A34E" wp14:editId="14DA914C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75335">
      <w:rPr>
        <w:noProof/>
      </w:rPr>
      <w:t>9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EC" w:rsidRDefault="008B27EC" w:rsidP="00285D6F">
      <w:pPr>
        <w:spacing w:after="0" w:line="240" w:lineRule="auto"/>
      </w:pPr>
      <w:r>
        <w:separator/>
      </w:r>
    </w:p>
  </w:footnote>
  <w:footnote w:type="continuationSeparator" w:id="0">
    <w:p w:rsidR="008B27EC" w:rsidRDefault="008B27E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637DEA" wp14:editId="2FE2391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FA0B24" w:rsidRDefault="00FA0B24" w:rsidP="00FA0B24">
    <w:pPr>
      <w:pStyle w:val="Nagwek"/>
      <w:tabs>
        <w:tab w:val="clear" w:pos="9072"/>
      </w:tabs>
      <w:ind w:left="142" w:right="-283"/>
    </w:pPr>
    <w:r w:rsidRPr="00CD60A9">
      <w:rPr>
        <w:b/>
        <w:color w:val="F09120"/>
      </w:rPr>
      <w:t xml:space="preserve">Język </w:t>
    </w:r>
    <w:r>
      <w:rPr>
        <w:b/>
        <w:color w:val="F09120"/>
      </w:rPr>
      <w:t>niemiecki</w:t>
    </w:r>
    <w:r>
      <w:t xml:space="preserve">| </w:t>
    </w:r>
    <w:r w:rsidRPr="00FA0B24">
      <w:t xml:space="preserve">aha! Neu </w:t>
    </w:r>
    <w:r>
      <w:t xml:space="preserve">| </w:t>
    </w:r>
    <w:r w:rsidR="00A7793E">
      <w:t>Klasa 7</w:t>
    </w:r>
    <w:r>
      <w:tab/>
    </w:r>
    <w:r>
      <w:tab/>
    </w:r>
    <w:r>
      <w:tab/>
    </w:r>
    <w:r>
      <w:tab/>
      <w:t xml:space="preserve"> </w:t>
    </w:r>
    <w:r w:rsidR="00A7793E">
      <w:tab/>
    </w:r>
    <w:r w:rsidR="00A7793E">
      <w:tab/>
    </w:r>
    <w:r w:rsidR="00A7793E" w:rsidRPr="00A7793E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47604"/>
    <w:rsid w:val="001462E0"/>
    <w:rsid w:val="00245DA5"/>
    <w:rsid w:val="00285D6F"/>
    <w:rsid w:val="002F1910"/>
    <w:rsid w:val="00317434"/>
    <w:rsid w:val="003572A4"/>
    <w:rsid w:val="00386984"/>
    <w:rsid w:val="003B56FB"/>
    <w:rsid w:val="00435B7E"/>
    <w:rsid w:val="004545DD"/>
    <w:rsid w:val="00602ABB"/>
    <w:rsid w:val="00672759"/>
    <w:rsid w:val="006B5810"/>
    <w:rsid w:val="006B7499"/>
    <w:rsid w:val="006F6B29"/>
    <w:rsid w:val="00797BFE"/>
    <w:rsid w:val="007B3CB5"/>
    <w:rsid w:val="00804E2A"/>
    <w:rsid w:val="008648E0"/>
    <w:rsid w:val="008B27EC"/>
    <w:rsid w:val="008C2636"/>
    <w:rsid w:val="00983221"/>
    <w:rsid w:val="009E0F62"/>
    <w:rsid w:val="00A5798A"/>
    <w:rsid w:val="00A7793E"/>
    <w:rsid w:val="00AA3ACA"/>
    <w:rsid w:val="00B70C6A"/>
    <w:rsid w:val="00B76708"/>
    <w:rsid w:val="00CC2B24"/>
    <w:rsid w:val="00D75335"/>
    <w:rsid w:val="00EC12C2"/>
    <w:rsid w:val="00F2739C"/>
    <w:rsid w:val="00F67C95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6A20F2-8E8E-4B0B-85F5-FDEC875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BB48-B83F-47D4-B0E0-B98AF7FC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2927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3</cp:revision>
  <dcterms:created xsi:type="dcterms:W3CDTF">2019-11-08T07:44:00Z</dcterms:created>
  <dcterms:modified xsi:type="dcterms:W3CDTF">2019-11-08T11:57:00Z</dcterms:modified>
</cp:coreProperties>
</file>